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761" w:rsidRDefault="002F5761">
      <w:bookmarkStart w:id="0" w:name="_GoBack"/>
      <w:bookmarkEnd w:id="0"/>
    </w:p>
    <w:p w:rsidR="002F5761" w:rsidRDefault="002F5761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F5761" w:rsidTr="002F5761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9"/>
              <w:gridCol w:w="5083"/>
            </w:tblGrid>
            <w:tr w:rsidR="002F5761">
              <w:tc>
                <w:tcPr>
                  <w:tcW w:w="2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9"/>
                  </w:tblGrid>
                  <w:tr w:rsidR="002F5761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89"/>
                        </w:tblGrid>
                        <w:tr w:rsidR="002F576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8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2F576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F5761" w:rsidRDefault="002F5761">
                                    <w:pPr>
                                      <w:spacing w:line="0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143000" cy="714375"/>
                                          <wp:effectExtent l="0" t="0" r="0" b="9525"/>
                                          <wp:docPr id="1" name="Imag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714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F5761" w:rsidRDefault="002F576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F5761" w:rsidRDefault="002F576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F5761" w:rsidRDefault="002F576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83"/>
                  </w:tblGrid>
                  <w:tr w:rsidR="002F5761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83"/>
                        </w:tblGrid>
                        <w:tr w:rsidR="002F576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83"/>
                              </w:tblGrid>
                              <w:tr w:rsidR="002F5761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F5761" w:rsidRDefault="002F5761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  <w:color w:val="3C4858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hAnsi="Arial" w:cs="Arial"/>
                                        <w:color w:val="3C4858"/>
                                        <w:sz w:val="27"/>
                                        <w:szCs w:val="27"/>
                                      </w:rPr>
                                      <w:t>Bonjour Georges WIRTZ</w:t>
                                    </w:r>
                                  </w:p>
                                </w:tc>
                              </w:tr>
                              <w:tr w:rsidR="002F5761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F5761" w:rsidRDefault="002F5761">
                                    <w:pPr>
                                      <w:spacing w:line="150" w:lineRule="atLeast"/>
                                      <w:rPr>
                                        <w:rFonts w:eastAsia="Times New Roman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15"/>
                                        <w:szCs w:val="15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:rsidR="002F5761" w:rsidRDefault="002F576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576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F5761" w:rsidRDefault="002F576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F5761" w:rsidRDefault="002F576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F5761" w:rsidRDefault="002F576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F5761" w:rsidRDefault="002F57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5761" w:rsidRDefault="002F5761" w:rsidP="002F5761">
      <w:pPr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F5761" w:rsidTr="002F5761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2F5761">
              <w:tc>
                <w:tcPr>
                  <w:tcW w:w="5000" w:type="pct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2"/>
                  </w:tblGrid>
                  <w:tr w:rsidR="002F5761"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hideMark/>
                      </w:tcPr>
                      <w:p w:rsidR="002F5761" w:rsidRDefault="002F5761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3B3F44"/>
                            <w:sz w:val="24"/>
                            <w:szCs w:val="24"/>
                          </w:rPr>
                        </w:pPr>
                        <w:r>
                          <w:rPr>
                            <w:rStyle w:val="lev"/>
                            <w:rFonts w:ascii="Arial" w:hAnsi="Arial" w:cs="Arial"/>
                            <w:color w:val="3B3F44"/>
                            <w:sz w:val="24"/>
                            <w:szCs w:val="24"/>
                          </w:rPr>
                          <w:t>Promotion d’une Opération de Mécénat pour le Documentaire sur la distillation en Normandie</w:t>
                        </w:r>
                      </w:p>
                      <w:p w:rsidR="002F5761" w:rsidRDefault="002F5761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3B3F4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3B3F44"/>
                            <w:sz w:val="24"/>
                            <w:szCs w:val="24"/>
                          </w:rPr>
                          <w:t> </w:t>
                        </w:r>
                      </w:p>
                      <w:p w:rsidR="002F5761" w:rsidRDefault="002F5761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color w:val="3B3F44"/>
                            <w:sz w:val="24"/>
                            <w:szCs w:val="24"/>
                          </w:rPr>
                        </w:pPr>
                        <w:r>
                          <w:rPr>
                            <w:rStyle w:val="lev"/>
                            <w:rFonts w:ascii="Arial" w:hAnsi="Arial" w:cs="Arial"/>
                            <w:color w:val="3B3F44"/>
                            <w:sz w:val="24"/>
                            <w:szCs w:val="24"/>
                          </w:rPr>
                          <w:t>Soutenez la Passion du Cidre Normand !</w:t>
                        </w:r>
                      </w:p>
                    </w:tc>
                  </w:tr>
                </w:tbl>
                <w:p w:rsidR="002F5761" w:rsidRDefault="002F576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F5761" w:rsidRDefault="002F57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5761" w:rsidRDefault="002F5761" w:rsidP="002F5761">
      <w:pPr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F5761" w:rsidTr="002F5761">
        <w:trPr>
          <w:jc w:val="center"/>
        </w:trPr>
        <w:tc>
          <w:tcPr>
            <w:tcW w:w="0" w:type="auto"/>
            <w:shd w:val="clear" w:color="auto" w:fill="FFFFFF"/>
            <w:tcMar>
              <w:top w:w="165" w:type="dxa"/>
              <w:left w:w="0" w:type="dxa"/>
              <w:bottom w:w="28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F5761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2F5761">
                    <w:tc>
                      <w:tcPr>
                        <w:tcW w:w="0" w:type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62"/>
                        </w:tblGrid>
                        <w:tr w:rsidR="002F576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62"/>
                              </w:tblGrid>
                              <w:tr w:rsidR="002F5761">
                                <w:tc>
                                  <w:tcPr>
                                    <w:tcW w:w="0" w:type="auto"/>
                                    <w:tcMar>
                                      <w:top w:w="9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hideMark/>
                                  </w:tcPr>
                                  <w:p w:rsidR="002F5761" w:rsidRDefault="002F5761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>Chers amis,</w:t>
                                    </w:r>
                                  </w:p>
                                  <w:p w:rsidR="002F5761" w:rsidRDefault="002F5761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  <w:p w:rsidR="002F5761" w:rsidRDefault="002F5761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>Nous avons le plaisir de vous annoncer un projet captivant qui met en lumière l’héritage unique de la Normandie : un documentaire innovant diffusé sur France Télévisions, consacré à un distillateur ambulant passionné et à la valorisation du cidre, véritable symbole de notre terroir.</w:t>
                                    </w:r>
                                  </w:p>
                                  <w:p w:rsidR="002F5761" w:rsidRDefault="002F5761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>Pourquoi ce projet est-il important ?</w:t>
                                    </w:r>
                                  </w:p>
                                  <w:p w:rsidR="002F5761" w:rsidRDefault="002F5761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 xml:space="preserve">Le cidre normand n’est pas seulement une boisson : c’est un art, une tradition, un savoir-faire transmis de génération en génération. Ce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>documentaire,  souhaite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 xml:space="preserve"> raconter l’histoire d' un artisan qui parcourt les routes de la Normandie, partageant sa passion et son expertise. Ce film mettra en avant :</w:t>
                                    </w:r>
                                  </w:p>
                                  <w:p w:rsidR="002F5761" w:rsidRDefault="002F5761" w:rsidP="00D62539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ind w:left="0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>L'Artisanat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 xml:space="preserve"> : Découvrez les méthodes traditionnelles de distillation et l’authenticité des produits locaux.</w:t>
                                    </w:r>
                                  </w:p>
                                  <w:p w:rsidR="002F5761" w:rsidRDefault="002F5761" w:rsidP="00D62539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ind w:left="0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>La Culture Normande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 xml:space="preserve"> : Plongez au cœur des paysages normands, des vergers aux marchés, et rencontrez ceux qui font vivre cette tradition.</w:t>
                                    </w:r>
                                  </w:p>
                                  <w:p w:rsidR="002F5761" w:rsidRDefault="002F5761" w:rsidP="00D62539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ind w:left="0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>L'Innovation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 xml:space="preserve"> : Apprenez comment le distillateur intègre des pratiques durables et respectueuses de l’environnement dans son processus.</w:t>
                                    </w:r>
                                  </w:p>
                                  <w:p w:rsidR="002F5761" w:rsidRDefault="002F5761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>Comment pouvez-vous participer ?</w:t>
                                    </w:r>
                                  </w:p>
                                  <w:p w:rsidR="002F5761" w:rsidRDefault="002F5761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>Une opération de mécénat  est lancée pour soutenir cette belle initiative. Votre contribution permettra de financer :</w:t>
                                    </w:r>
                                  </w:p>
                                  <w:p w:rsidR="002F5761" w:rsidRDefault="002F5761" w:rsidP="00D6253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ind w:left="0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>La production du documentaire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 xml:space="preserve"> : Équipe de tournage, matériel, post-production.</w:t>
                                    </w:r>
                                  </w:p>
                                  <w:p w:rsidR="002F5761" w:rsidRDefault="002F5761" w:rsidP="00D6253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ind w:left="0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>La promotion du film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 xml:space="preserve"> : Sensibilisation à l’artisanat local et aux pratiques durables.</w:t>
                                    </w:r>
                                  </w:p>
                                  <w:p w:rsidR="002F5761" w:rsidRDefault="002F5761" w:rsidP="00D62539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ind w:left="0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>Des événements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 xml:space="preserve"> : Projections, discussions, et ateliers autour de la culture cidricole.</w:t>
                                    </w:r>
                                  </w:p>
                                  <w:p w:rsidR="002F5761" w:rsidRDefault="002F5761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>Les avantages pour les mécènes :</w:t>
                                    </w:r>
                                  </w:p>
                                  <w:p w:rsidR="002F5761" w:rsidRDefault="002F5761">
                                    <w:pPr>
                                      <w:pStyle w:val="NormalWeb"/>
                                      <w:jc w:val="both"/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>En devenant mécène, vous bénéficierez de :</w:t>
                                    </w:r>
                                  </w:p>
                                  <w:p w:rsidR="002F5761" w:rsidRDefault="002F5761" w:rsidP="00D62539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ind w:left="0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>Visibilité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 xml:space="preserve"> : Votre nom ou logo apparaîtra dans le générique et la communication autour du documentaire.</w:t>
                                    </w:r>
                                  </w:p>
                                  <w:p w:rsidR="002F5761" w:rsidRDefault="002F5761" w:rsidP="00D62539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ind w:left="0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>Invitations exclusives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 xml:space="preserve"> : Participez à des avant-premières et rencontrez l’équipe du film.</w:t>
                                    </w:r>
                                  </w:p>
                                  <w:p w:rsidR="002F5761" w:rsidRDefault="002F5761" w:rsidP="00D62539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ind w:left="0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>Satisfaction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 xml:space="preserve"> : Contribuez à la valorisation d’un savoir-faire unique et au soutien de l’artisanat local.</w:t>
                                    </w:r>
                                  </w:p>
                                </w:tc>
                              </w:tr>
                            </w:tbl>
                            <w:p w:rsidR="002F5761" w:rsidRDefault="002F576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F5761" w:rsidRDefault="002F576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F5761" w:rsidRDefault="002F576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F5761" w:rsidRDefault="002F57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5761" w:rsidRDefault="002F5761"/>
    <w:sectPr w:rsidR="002F5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50D2"/>
    <w:multiLevelType w:val="multilevel"/>
    <w:tmpl w:val="BA16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D04FB"/>
    <w:multiLevelType w:val="multilevel"/>
    <w:tmpl w:val="64D6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85FFE"/>
    <w:multiLevelType w:val="multilevel"/>
    <w:tmpl w:val="966E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61"/>
    <w:rsid w:val="002F5761"/>
    <w:rsid w:val="00A2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1485"/>
  <w15:chartTrackingRefBased/>
  <w15:docId w15:val="{E23EEDDC-0C84-45EC-B2DD-8B3EA464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5761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761"/>
  </w:style>
  <w:style w:type="character" w:styleId="lev">
    <w:name w:val="Strong"/>
    <w:basedOn w:val="Policepardfaut"/>
    <w:uiPriority w:val="22"/>
    <w:qFormat/>
    <w:rsid w:val="002F5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FREYTAG</dc:creator>
  <cp:keywords/>
  <dc:description/>
  <cp:lastModifiedBy>HUBERT FREYTAG</cp:lastModifiedBy>
  <cp:revision>1</cp:revision>
  <dcterms:created xsi:type="dcterms:W3CDTF">2025-02-11T08:03:00Z</dcterms:created>
  <dcterms:modified xsi:type="dcterms:W3CDTF">2025-02-11T08:05:00Z</dcterms:modified>
</cp:coreProperties>
</file>